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A9" w:rsidRPr="00247A12" w:rsidRDefault="00D561CF" w:rsidP="001E4518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247A12">
        <w:rPr>
          <w:rFonts w:ascii="Arial" w:hAnsi="Arial" w:cs="Arial"/>
          <w:b/>
          <w:color w:val="000000" w:themeColor="text1"/>
        </w:rPr>
        <w:t>CONTRIBUTION A LA CONCERTATION SUR LA LIGNE 400 000 VOLTS JONQUIERES FOS</w:t>
      </w:r>
      <w:r w:rsidR="00247A12">
        <w:rPr>
          <w:rFonts w:ascii="Arial" w:hAnsi="Arial" w:cs="Arial"/>
          <w:b/>
          <w:color w:val="000000" w:themeColor="text1"/>
        </w:rPr>
        <w:t xml:space="preserve"> </w:t>
      </w:r>
    </w:p>
    <w:p w:rsidR="00076A24" w:rsidRPr="00076A24" w:rsidRDefault="00986A35" w:rsidP="005A2DA7">
      <w:pPr>
        <w:pStyle w:val="Sansinterligne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Pourquoi</w:t>
      </w:r>
      <w:r w:rsidR="006769A9" w:rsidRPr="005A2DA7">
        <w:rPr>
          <w:rFonts w:ascii="Arial" w:hAnsi="Arial" w:cs="Arial"/>
          <w:color w:val="000000" w:themeColor="text1"/>
        </w:rPr>
        <w:t xml:space="preserve"> ne pas concentrer l'approvisionnement actuel, fiable, vers les activités SEVESO, et faire une ligne souterraine affectée aux activités pour lesquelles la fiabilité est moins importante ?</w:t>
      </w:r>
    </w:p>
    <w:p w:rsidR="00076A24" w:rsidRPr="00076A24" w:rsidRDefault="00076A24" w:rsidP="00076A24">
      <w:pPr>
        <w:pStyle w:val="Sansinterligne"/>
        <w:spacing w:line="276" w:lineRule="auto"/>
        <w:rPr>
          <w:rFonts w:ascii="Arial" w:hAnsi="Arial" w:cs="Arial"/>
        </w:rPr>
      </w:pPr>
    </w:p>
    <w:p w:rsidR="005A2DA7" w:rsidRDefault="005A2DA7" w:rsidP="005A2DA7">
      <w:pPr>
        <w:pStyle w:val="Sansinterligne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5A2DA7">
        <w:rPr>
          <w:rFonts w:ascii="Arial" w:hAnsi="Arial" w:cs="Arial"/>
          <w:color w:val="000000" w:themeColor="text1"/>
        </w:rPr>
        <w:t xml:space="preserve">Les Suédois, les Allemands, </w:t>
      </w:r>
      <w:r w:rsidR="001447DD">
        <w:rPr>
          <w:rFonts w:ascii="Arial" w:hAnsi="Arial" w:cs="Arial"/>
          <w:color w:val="000000" w:themeColor="text1"/>
        </w:rPr>
        <w:t>les Espagnols (avec RTE), les A</w:t>
      </w:r>
      <w:r w:rsidRPr="005A2DA7">
        <w:rPr>
          <w:rFonts w:ascii="Arial" w:hAnsi="Arial" w:cs="Arial"/>
          <w:color w:val="000000" w:themeColor="text1"/>
        </w:rPr>
        <w:t>méricains… savent enfouir de façon compétitive</w:t>
      </w:r>
      <w:r>
        <w:rPr>
          <w:rFonts w:ascii="Arial" w:hAnsi="Arial" w:cs="Arial"/>
        </w:rPr>
        <w:t>. Pourquoi pas nous ?</w:t>
      </w:r>
    </w:p>
    <w:p w:rsidR="005A2DA7" w:rsidRDefault="005A2DA7" w:rsidP="005A2DA7">
      <w:pPr>
        <w:pStyle w:val="Sansinterligne"/>
        <w:spacing w:line="276" w:lineRule="auto"/>
        <w:rPr>
          <w:rFonts w:ascii="Arial" w:hAnsi="Arial" w:cs="Arial"/>
        </w:rPr>
      </w:pPr>
    </w:p>
    <w:p w:rsidR="005A2DA7" w:rsidRDefault="005A2DA7" w:rsidP="005A2DA7">
      <w:pPr>
        <w:pStyle w:val="Sansinterligne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semble qu’il n’y ait pas eu d’appel d’offres pour l’enfouissement. </w:t>
      </w:r>
      <w:r w:rsidR="00986A35">
        <w:rPr>
          <w:rFonts w:ascii="Arial" w:hAnsi="Arial" w:cs="Arial"/>
        </w:rPr>
        <w:t>Pourquoi</w:t>
      </w:r>
      <w:r>
        <w:rPr>
          <w:rFonts w:ascii="Arial" w:hAnsi="Arial" w:cs="Arial"/>
        </w:rPr>
        <w:t> ?</w:t>
      </w:r>
    </w:p>
    <w:p w:rsidR="005A2DA7" w:rsidRPr="005A2DA7" w:rsidRDefault="005A2DA7" w:rsidP="005A2DA7">
      <w:pPr>
        <w:pStyle w:val="Sansinterligne"/>
        <w:spacing w:line="276" w:lineRule="auto"/>
        <w:rPr>
          <w:rFonts w:ascii="Arial" w:hAnsi="Arial" w:cs="Arial"/>
        </w:rPr>
      </w:pPr>
    </w:p>
    <w:p w:rsidR="00CC7F88" w:rsidRDefault="005A2DA7" w:rsidP="00CC7F88">
      <w:pPr>
        <w:pStyle w:val="Sansinterligne"/>
        <w:numPr>
          <w:ilvl w:val="0"/>
          <w:numId w:val="7"/>
        </w:numPr>
        <w:tabs>
          <w:tab w:val="left" w:pos="170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RTE  répond actuellement à une seule question : « Où faire passer avec le moindre impact une ligne aérienne de 400 000 volts ». </w:t>
      </w:r>
      <w:r w:rsidRPr="00986A35">
        <w:rPr>
          <w:rFonts w:ascii="Arial" w:hAnsi="Arial" w:cs="Arial"/>
        </w:rPr>
        <w:t xml:space="preserve">En réalité la question </w:t>
      </w:r>
      <w:r w:rsidR="001447DD">
        <w:rPr>
          <w:rFonts w:ascii="Arial" w:hAnsi="Arial" w:cs="Arial"/>
        </w:rPr>
        <w:t>se situe</w:t>
      </w:r>
      <w:r w:rsidRPr="00986A35">
        <w:rPr>
          <w:rFonts w:ascii="Arial" w:hAnsi="Arial" w:cs="Arial"/>
        </w:rPr>
        <w:t xml:space="preserve"> beaucoup plus en amont : </w:t>
      </w:r>
      <w:r w:rsidRPr="00986A35">
        <w:rPr>
          <w:rFonts w:ascii="Arial" w:hAnsi="Arial" w:cs="Arial"/>
          <w:b/>
        </w:rPr>
        <w:t>« Comment approvisionner le mieux possible en électricité dans les années qui viennent le complexe industriel de Fos en fonction de ses besoins prévisibles ».</w:t>
      </w:r>
      <w:r w:rsidR="007352B5">
        <w:rPr>
          <w:rFonts w:ascii="Arial" w:hAnsi="Arial" w:cs="Arial"/>
          <w:b/>
        </w:rPr>
        <w:t xml:space="preserve"> </w:t>
      </w:r>
      <w:r w:rsidR="007352B5" w:rsidRPr="007352B5">
        <w:rPr>
          <w:rFonts w:ascii="Arial" w:hAnsi="Arial" w:cs="Arial"/>
        </w:rPr>
        <w:t xml:space="preserve">S’il y avait une réelle volonté politique, </w:t>
      </w:r>
      <w:r w:rsidR="007352B5">
        <w:rPr>
          <w:rFonts w:ascii="Arial" w:hAnsi="Arial" w:cs="Arial"/>
        </w:rPr>
        <w:t xml:space="preserve">on trouverait certainement des solutions meilleures qu’une </w:t>
      </w:r>
      <w:r w:rsidR="00076A24">
        <w:rPr>
          <w:rFonts w:ascii="Arial" w:hAnsi="Arial" w:cs="Arial"/>
        </w:rPr>
        <w:t xml:space="preserve">seule </w:t>
      </w:r>
      <w:r w:rsidR="007352B5">
        <w:rPr>
          <w:rFonts w:ascii="Arial" w:hAnsi="Arial" w:cs="Arial"/>
        </w:rPr>
        <w:t>ligne aérienne</w:t>
      </w:r>
    </w:p>
    <w:p w:rsidR="00311D4A" w:rsidRDefault="00311D4A" w:rsidP="00311D4A">
      <w:pPr>
        <w:pStyle w:val="Paragraphedeliste"/>
        <w:rPr>
          <w:rFonts w:ascii="Arial" w:hAnsi="Arial" w:cs="Arial"/>
        </w:rPr>
      </w:pPr>
    </w:p>
    <w:p w:rsidR="003A3CBF" w:rsidRPr="003A3CBF" w:rsidRDefault="00311D4A" w:rsidP="003A3CBF">
      <w:pPr>
        <w:pStyle w:val="Sansinterligne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Le</w:t>
      </w:r>
      <w:r w:rsidRPr="00443B80">
        <w:rPr>
          <w:rFonts w:ascii="Arial" w:eastAsia="Times New Roman" w:hAnsi="Arial" w:cs="Arial"/>
        </w:rPr>
        <w:t xml:space="preserve"> groupe </w:t>
      </w:r>
      <w:proofErr w:type="spellStart"/>
      <w:r w:rsidRPr="00443B80">
        <w:rPr>
          <w:rFonts w:ascii="Arial" w:eastAsia="Times New Roman" w:hAnsi="Arial" w:cs="Arial"/>
        </w:rPr>
        <w:t>Orano</w:t>
      </w:r>
      <w:proofErr w:type="spellEnd"/>
      <w:r w:rsidR="003A3CBF">
        <w:rPr>
          <w:rFonts w:ascii="Arial" w:eastAsia="Times New Roman" w:hAnsi="Arial" w:cs="Arial"/>
        </w:rPr>
        <w:t xml:space="preserve"> (avec EDF)</w:t>
      </w:r>
      <w:r w:rsidRPr="00443B80">
        <w:rPr>
          <w:rFonts w:ascii="Arial" w:eastAsia="Times New Roman" w:hAnsi="Arial" w:cs="Arial"/>
        </w:rPr>
        <w:t xml:space="preserve"> annonce que « </w:t>
      </w:r>
      <w:hyperlink r:id="rId5" w:history="1">
        <w:r w:rsidRPr="00211BFD">
          <w:rPr>
            <w:rStyle w:val="Lienhypertexte"/>
            <w:rFonts w:ascii="Arial" w:eastAsia="Times New Roman" w:hAnsi="Arial" w:cs="Arial"/>
          </w:rPr>
          <w:t xml:space="preserve">le projet </w:t>
        </w:r>
        <w:proofErr w:type="spellStart"/>
        <w:r w:rsidRPr="00211BFD">
          <w:rPr>
            <w:rStyle w:val="Lienhypertexte"/>
            <w:rFonts w:ascii="Arial" w:eastAsia="Times New Roman" w:hAnsi="Arial" w:cs="Arial"/>
          </w:rPr>
          <w:t>Nuward</w:t>
        </w:r>
        <w:proofErr w:type="spellEnd"/>
        <w:r w:rsidRPr="00211BFD">
          <w:rPr>
            <w:rStyle w:val="Lienhypertexte"/>
            <w:rFonts w:ascii="Arial" w:eastAsia="Times New Roman" w:hAnsi="Arial" w:cs="Arial"/>
          </w:rPr>
          <w:t xml:space="preserve"> qui vise à déployer des SMR est entré dans sa phase industrielle et vise à être déployé dès 2030 </w:t>
        </w:r>
      </w:hyperlink>
      <w:r w:rsidRPr="00443B80">
        <w:rPr>
          <w:rFonts w:ascii="Arial" w:eastAsia="Times New Roman" w:hAnsi="Arial" w:cs="Arial"/>
        </w:rPr>
        <w:t>». Six ans… C’est sans doute la durée de mise en place de la ligne haute tensi</w:t>
      </w:r>
      <w:r>
        <w:rPr>
          <w:rFonts w:ascii="Arial" w:eastAsia="Times New Roman" w:hAnsi="Arial" w:cs="Arial"/>
        </w:rPr>
        <w:t>on, si tout se passe bien, car l</w:t>
      </w:r>
      <w:r w:rsidRPr="00443B80">
        <w:rPr>
          <w:rFonts w:ascii="Arial" w:eastAsia="Times New Roman" w:hAnsi="Arial" w:cs="Arial"/>
        </w:rPr>
        <w:t>a mise en fonction de la ligne aérienne 400 000 volts Amiens Petit Caux</w:t>
      </w:r>
      <w:r>
        <w:rPr>
          <w:rFonts w:ascii="Arial" w:eastAsia="Times New Roman" w:hAnsi="Arial" w:cs="Arial"/>
        </w:rPr>
        <w:t xml:space="preserve"> (80</w:t>
      </w:r>
      <w:r w:rsidRPr="00443B80">
        <w:rPr>
          <w:rFonts w:ascii="Arial" w:eastAsia="Times New Roman" w:hAnsi="Arial" w:cs="Arial"/>
        </w:rPr>
        <w:t xml:space="preserve"> km), </w:t>
      </w:r>
      <w:hyperlink r:id="rId6" w:history="1">
        <w:r w:rsidRPr="00211BFD">
          <w:rPr>
            <w:rStyle w:val="Lienhypertexte"/>
            <w:rFonts w:ascii="Arial" w:eastAsia="Times New Roman" w:hAnsi="Arial" w:cs="Arial"/>
          </w:rPr>
          <w:t>démarrée en 2022, n’est prévue que pour 2034</w:t>
        </w:r>
      </w:hyperlink>
      <w:r>
        <w:rPr>
          <w:rFonts w:ascii="Arial" w:eastAsia="Times New Roman" w:hAnsi="Arial" w:cs="Arial"/>
        </w:rPr>
        <w:t>, le double</w:t>
      </w:r>
      <w:r w:rsidRPr="00443B80">
        <w:rPr>
          <w:rFonts w:ascii="Arial" w:eastAsia="Times New Roman" w:hAnsi="Arial" w:cs="Arial"/>
        </w:rPr>
        <w:t xml:space="preserve">… </w:t>
      </w:r>
      <w:r>
        <w:rPr>
          <w:rFonts w:ascii="Arial" w:eastAsia="Times New Roman" w:hAnsi="Arial" w:cs="Arial"/>
        </w:rPr>
        <w:t xml:space="preserve">Pourquoi </w:t>
      </w:r>
      <w:r w:rsidR="003A3CBF">
        <w:rPr>
          <w:rFonts w:ascii="Arial" w:eastAsia="Times New Roman" w:hAnsi="Arial" w:cs="Arial"/>
        </w:rPr>
        <w:t xml:space="preserve">souligner </w:t>
      </w:r>
      <w:r>
        <w:rPr>
          <w:rFonts w:ascii="Arial" w:eastAsia="Times New Roman" w:hAnsi="Arial" w:cs="Arial"/>
        </w:rPr>
        <w:t xml:space="preserve">que la technologie SMR est « expérimentale » alors que </w:t>
      </w:r>
      <w:r w:rsidR="003A3CBF">
        <w:rPr>
          <w:rFonts w:ascii="Arial" w:eastAsia="Times New Roman" w:hAnsi="Arial" w:cs="Arial"/>
        </w:rPr>
        <w:t xml:space="preserve">le gouvernement de </w:t>
      </w:r>
      <w:r>
        <w:rPr>
          <w:rFonts w:ascii="Arial" w:eastAsia="Times New Roman" w:hAnsi="Arial" w:cs="Arial"/>
        </w:rPr>
        <w:t>Grande Bretagne</w:t>
      </w:r>
      <w:r w:rsidR="003A3CBF">
        <w:rPr>
          <w:rFonts w:ascii="Arial" w:eastAsia="Times New Roman" w:hAnsi="Arial" w:cs="Arial"/>
        </w:rPr>
        <w:t xml:space="preserve"> </w:t>
      </w:r>
      <w:r w:rsidR="003A3CBF" w:rsidRPr="003A3CBF">
        <w:rPr>
          <w:rFonts w:ascii="Arial" w:eastAsia="Times New Roman" w:hAnsi="Arial" w:cs="Arial"/>
        </w:rPr>
        <w:t xml:space="preserve">annonce : </w:t>
      </w:r>
      <w:r w:rsidR="003A3CBF" w:rsidRPr="003A3CBF">
        <w:rPr>
          <w:rFonts w:ascii="Arial" w:hAnsi="Arial" w:cs="Arial"/>
          <w:color w:val="1D1D1D"/>
        </w:rPr>
        <w:t>«</w:t>
      </w:r>
      <w:hyperlink r:id="rId7" w:history="1">
        <w:r w:rsidR="003A3CBF" w:rsidRPr="003A3CBF">
          <w:rPr>
            <w:rStyle w:val="Lienhypertexte"/>
            <w:rFonts w:ascii="Arial" w:hAnsi="Arial" w:cs="Arial"/>
          </w:rPr>
          <w:t xml:space="preserve">Les conceptions sélectionnées aujourd’hui sont considérées par le gouvernement et par Great British </w:t>
        </w:r>
        <w:proofErr w:type="spellStart"/>
        <w:r w:rsidR="003A3CBF" w:rsidRPr="003A3CBF">
          <w:rPr>
            <w:rStyle w:val="Lienhypertexte"/>
            <w:rFonts w:ascii="Arial" w:hAnsi="Arial" w:cs="Arial"/>
          </w:rPr>
          <w:t>Nuclear</w:t>
        </w:r>
        <w:proofErr w:type="spellEnd"/>
        <w:r w:rsidR="003A3CBF" w:rsidRPr="003A3CBF">
          <w:rPr>
            <w:rStyle w:val="Lienhypertexte"/>
            <w:rFonts w:ascii="Arial" w:hAnsi="Arial" w:cs="Arial"/>
          </w:rPr>
          <w:t xml:space="preserve"> – l’autorité créée par le gouvernement pour accélérer les projets nucléaires à travers tout le pays – comme les mieux adaptées pour équiper la Grande-Bretagne de SMR opérationnels d’ici le milieu des années 2030»</w:t>
        </w:r>
      </w:hyperlink>
      <w:r w:rsidR="003A3CBF">
        <w:rPr>
          <w:rFonts w:ascii="Arial" w:hAnsi="Arial" w:cs="Arial"/>
          <w:color w:val="1D1D1D"/>
        </w:rPr>
        <w:t xml:space="preserve"> </w:t>
      </w:r>
      <w:r w:rsidRPr="003A3CBF">
        <w:rPr>
          <w:rFonts w:ascii="Arial" w:eastAsia="Times New Roman" w:hAnsi="Arial" w:cs="Arial"/>
        </w:rPr>
        <w:t>?</w:t>
      </w:r>
      <w:r w:rsidR="003A3CBF">
        <w:rPr>
          <w:rFonts w:ascii="Arial" w:eastAsia="Times New Roman" w:hAnsi="Arial" w:cs="Arial"/>
        </w:rPr>
        <w:t xml:space="preserve"> EDF en fait partie</w:t>
      </w:r>
    </w:p>
    <w:p w:rsidR="00311D4A" w:rsidRDefault="00311D4A" w:rsidP="00311D4A">
      <w:pPr>
        <w:pStyle w:val="Sansinterligne"/>
        <w:spacing w:line="276" w:lineRule="auto"/>
        <w:ind w:left="720"/>
        <w:rPr>
          <w:rFonts w:ascii="Arial" w:hAnsi="Arial" w:cs="Arial"/>
        </w:rPr>
      </w:pPr>
    </w:p>
    <w:p w:rsidR="00311D4A" w:rsidRDefault="00311D4A" w:rsidP="00311D4A">
      <w:pPr>
        <w:pStyle w:val="Sansinterlign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Un dossier de cette ampleur nécessite plus d’organisation que ce qui semble avoir été mis en œuvre :</w:t>
      </w:r>
    </w:p>
    <w:p w:rsidR="00311D4A" w:rsidRDefault="00311D4A" w:rsidP="00311D4A">
      <w:pPr>
        <w:pStyle w:val="Sansinterligne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A-t-il été réalisé un phasage </w:t>
      </w:r>
      <w:r w:rsidRPr="00565F88">
        <w:rPr>
          <w:rFonts w:ascii="Arial" w:hAnsi="Arial" w:cs="Arial"/>
        </w:rPr>
        <w:t>des besoins</w:t>
      </w:r>
      <w:r>
        <w:rPr>
          <w:rFonts w:ascii="Arial" w:hAnsi="Arial" w:cs="Arial"/>
        </w:rPr>
        <w:t xml:space="preserve"> </w:t>
      </w:r>
      <w:r w:rsidRPr="003A3CBF">
        <w:rPr>
          <w:rFonts w:ascii="Arial" w:hAnsi="Arial" w:cs="Arial"/>
          <w:b/>
        </w:rPr>
        <w:t>raisonnablement</w:t>
      </w:r>
      <w:r>
        <w:rPr>
          <w:rFonts w:ascii="Arial" w:hAnsi="Arial" w:cs="Arial"/>
        </w:rPr>
        <w:t xml:space="preserve"> prévisibles </w:t>
      </w:r>
      <w:r w:rsidRPr="00565F88">
        <w:rPr>
          <w:rFonts w:ascii="Arial" w:hAnsi="Arial" w:cs="Arial"/>
        </w:rPr>
        <w:t>: quel besoin à 3 ans, à 6 ans, 10 an</w:t>
      </w:r>
      <w:r>
        <w:rPr>
          <w:rFonts w:ascii="Arial" w:hAnsi="Arial" w:cs="Arial"/>
        </w:rPr>
        <w:t>s</w:t>
      </w:r>
      <w:r w:rsidRPr="00565F88">
        <w:rPr>
          <w:rFonts w:ascii="Arial" w:hAnsi="Arial" w:cs="Arial"/>
        </w:rPr>
        <w:t>, 20 ans, 30 ans</w:t>
      </w:r>
      <w:r>
        <w:rPr>
          <w:rFonts w:ascii="Arial" w:hAnsi="Arial" w:cs="Arial"/>
        </w:rPr>
        <w:t>… prenant en compte de façon réaliste l’évolution probable de ces besoins ? Il est nécessaire de le connaître ;</w:t>
      </w:r>
    </w:p>
    <w:p w:rsidR="00311D4A" w:rsidRPr="00076A24" w:rsidRDefault="00311D4A" w:rsidP="00311D4A">
      <w:pPr>
        <w:pStyle w:val="Sansinterligne"/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 w:rsidRPr="001447DD">
        <w:rPr>
          <w:rFonts w:ascii="Arial" w:hAnsi="Arial" w:cs="Arial"/>
        </w:rPr>
        <w:t xml:space="preserve">A-t-il été réalisé une programmation des solutions qui peuvent être mise en œuvre en fonction du pas de temps ? Renforcement des </w:t>
      </w:r>
      <w:r w:rsidRPr="001447DD">
        <w:rPr>
          <w:rFonts w:ascii="Arial" w:eastAsia="Times New Roman" w:hAnsi="Arial" w:cs="Arial"/>
        </w:rPr>
        <w:t>lignes existantes (probablement rapide quand c’est possible) mais surto</w:t>
      </w:r>
      <w:r>
        <w:rPr>
          <w:rFonts w:ascii="Arial" w:eastAsia="Times New Roman" w:hAnsi="Arial" w:cs="Arial"/>
        </w:rPr>
        <w:t>ut production d’électricité sur</w:t>
      </w:r>
      <w:r w:rsidRPr="001447DD">
        <w:rPr>
          <w:rFonts w:ascii="Arial" w:eastAsia="Times New Roman" w:hAnsi="Arial" w:cs="Arial"/>
        </w:rPr>
        <w:t xml:space="preserve"> place : construction d’un </w:t>
      </w:r>
      <w:r>
        <w:rPr>
          <w:rFonts w:ascii="Arial" w:eastAsia="Times New Roman" w:hAnsi="Arial" w:cs="Arial"/>
        </w:rPr>
        <w:t xml:space="preserve">(ou deux, ou trois…) </w:t>
      </w:r>
      <w:r w:rsidRPr="001447DD">
        <w:rPr>
          <w:rFonts w:ascii="Arial" w:eastAsia="Times New Roman" w:hAnsi="Arial" w:cs="Arial"/>
        </w:rPr>
        <w:t xml:space="preserve">SMR </w:t>
      </w:r>
      <w:r w:rsidRPr="004500FE">
        <w:rPr>
          <w:rFonts w:ascii="Arial" w:eastAsia="Times New Roman" w:hAnsi="Arial" w:cs="Arial"/>
        </w:rPr>
        <w:t xml:space="preserve">; </w:t>
      </w:r>
      <w:hyperlink r:id="rId8" w:history="1">
        <w:r>
          <w:rPr>
            <w:rStyle w:val="Lienhypertexte"/>
            <w:rFonts w:ascii="Arial" w:eastAsia="Times New Roman" w:hAnsi="Arial" w:cs="Arial"/>
          </w:rPr>
          <w:t>création de très grosses unités de méthanisation (voir le lien)</w:t>
        </w:r>
      </w:hyperlink>
      <w:r w:rsidRPr="004500FE">
        <w:rPr>
          <w:rFonts w:ascii="Arial" w:eastAsia="Times New Roman" w:hAnsi="Arial" w:cs="Arial"/>
        </w:rPr>
        <w:t xml:space="preserve"> </w:t>
      </w:r>
      <w:r w:rsidRPr="001447DD">
        <w:rPr>
          <w:rFonts w:ascii="Arial" w:eastAsia="Times New Roman" w:hAnsi="Arial" w:cs="Arial"/>
        </w:rPr>
        <w:t xml:space="preserve">qui </w:t>
      </w:r>
      <w:r>
        <w:rPr>
          <w:rFonts w:ascii="Arial" w:eastAsia="Times New Roman" w:hAnsi="Arial" w:cs="Arial"/>
        </w:rPr>
        <w:t xml:space="preserve">en plus de produire de l’électricité </w:t>
      </w:r>
      <w:r w:rsidRPr="001447DD">
        <w:rPr>
          <w:rFonts w:ascii="Arial" w:eastAsia="Times New Roman" w:hAnsi="Arial" w:cs="Arial"/>
        </w:rPr>
        <w:t xml:space="preserve">pourraient permettre notamment de traiter les déchets organiques de Marseille… </w:t>
      </w:r>
      <w:r>
        <w:rPr>
          <w:rFonts w:ascii="Arial" w:eastAsia="Times New Roman" w:hAnsi="Arial" w:cs="Arial"/>
        </w:rPr>
        <w:t>Pourquoi ne pas envisager ces s</w:t>
      </w:r>
      <w:r w:rsidRPr="001447DD">
        <w:rPr>
          <w:rFonts w:ascii="Arial" w:eastAsia="Times New Roman" w:hAnsi="Arial" w:cs="Arial"/>
        </w:rPr>
        <w:t xml:space="preserve">olutions et les faire connaître ? Elles réduiraient d’autant la quantité d’électricité nécessaire par la ligne </w:t>
      </w:r>
      <w:proofErr w:type="spellStart"/>
      <w:r w:rsidRPr="001447DD">
        <w:rPr>
          <w:rFonts w:ascii="Arial" w:eastAsia="Times New Roman" w:hAnsi="Arial" w:cs="Arial"/>
        </w:rPr>
        <w:t>Jonquières</w:t>
      </w:r>
      <w:proofErr w:type="spellEnd"/>
      <w:r w:rsidRPr="001447DD">
        <w:rPr>
          <w:rFonts w:ascii="Arial" w:eastAsia="Times New Roman" w:hAnsi="Arial" w:cs="Arial"/>
        </w:rPr>
        <w:t xml:space="preserve">-Fos </w:t>
      </w:r>
      <w:r>
        <w:rPr>
          <w:rFonts w:ascii="Arial" w:hAnsi="Arial" w:cs="Arial"/>
        </w:rPr>
        <w:t>et faciliteraient donc son enfouissement.</w:t>
      </w:r>
    </w:p>
    <w:p w:rsidR="00CC7F88" w:rsidRPr="00CC7F88" w:rsidRDefault="00CC7F88" w:rsidP="00311D4A">
      <w:pPr>
        <w:pStyle w:val="Sansinterligne"/>
        <w:tabs>
          <w:tab w:val="left" w:pos="1222"/>
        </w:tabs>
        <w:spacing w:line="276" w:lineRule="auto"/>
        <w:rPr>
          <w:rFonts w:ascii="Arial" w:hAnsi="Arial" w:cs="Arial"/>
        </w:rPr>
      </w:pPr>
    </w:p>
    <w:p w:rsidR="00076A24" w:rsidRPr="003A3CBF" w:rsidRDefault="003A3CBF" w:rsidP="00076A2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CC7F88">
        <w:rPr>
          <w:rFonts w:ascii="Arial" w:hAnsi="Arial" w:cs="Arial"/>
        </w:rPr>
        <w:t xml:space="preserve">l </w:t>
      </w:r>
      <w:r w:rsidR="00CC7F88" w:rsidRPr="005A2DA7">
        <w:rPr>
          <w:rFonts w:ascii="Arial" w:hAnsi="Arial" w:cs="Arial"/>
        </w:rPr>
        <w:t xml:space="preserve">manque beaucoup d’éléments au public. RTE est un transporteur, pas un producteur d’électricité, et nous n’avons pas de vision d’ensemble des possibilités de disposer de l’électricité nécessaire à Fos. </w:t>
      </w:r>
      <w:r w:rsidR="00CC7F88">
        <w:rPr>
          <w:rFonts w:ascii="Arial" w:hAnsi="Arial" w:cs="Arial"/>
        </w:rPr>
        <w:t>Pourquoi</w:t>
      </w:r>
      <w:r w:rsidR="001447DD">
        <w:rPr>
          <w:rFonts w:ascii="Arial" w:hAnsi="Arial" w:cs="Arial"/>
        </w:rPr>
        <w:t> ?</w:t>
      </w:r>
    </w:p>
    <w:p w:rsidR="00076A24" w:rsidRPr="001447DD" w:rsidRDefault="00076A24" w:rsidP="00076A24">
      <w:pPr>
        <w:pStyle w:val="Sansinterligne"/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La région PACA est déficitaire de 60 % d’électricité. Pourquoi en importer encore beaucoup plus, en accroissant encore le différentiel, au lieu de chercher toutes</w:t>
      </w:r>
      <w:r w:rsidR="003A3CBF">
        <w:rPr>
          <w:rFonts w:ascii="Arial" w:hAnsi="Arial" w:cs="Arial"/>
        </w:rPr>
        <w:t xml:space="preserve"> les solutions po</w:t>
      </w:r>
      <w:r>
        <w:rPr>
          <w:rFonts w:ascii="Arial" w:hAnsi="Arial" w:cs="Arial"/>
        </w:rPr>
        <w:t>ur en produire sur place ? C’est contrair</w:t>
      </w:r>
      <w:r w:rsidR="003A3CBF">
        <w:rPr>
          <w:rFonts w:ascii="Arial" w:hAnsi="Arial" w:cs="Arial"/>
        </w:rPr>
        <w:t>e à toutes les règles de prudence, de sécuri</w:t>
      </w:r>
      <w:r>
        <w:rPr>
          <w:rFonts w:ascii="Arial" w:hAnsi="Arial" w:cs="Arial"/>
        </w:rPr>
        <w:t>té.</w:t>
      </w:r>
    </w:p>
    <w:p w:rsidR="00CC7F88" w:rsidRDefault="00CC7F88" w:rsidP="001447DD">
      <w:pPr>
        <w:pStyle w:val="Sansinterligne"/>
        <w:spacing w:line="276" w:lineRule="auto"/>
        <w:ind w:left="360"/>
        <w:rPr>
          <w:rFonts w:ascii="Arial" w:eastAsia="Times New Roman" w:hAnsi="Arial" w:cs="Arial"/>
        </w:rPr>
      </w:pPr>
    </w:p>
    <w:p w:rsidR="00076A24" w:rsidRDefault="00076A24" w:rsidP="00076A24">
      <w:pPr>
        <w:pStyle w:val="Sansinterligne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La capacité de production des quatre centrales de la vallée du Rhône</w:t>
      </w:r>
      <w:r>
        <w:rPr>
          <w:rFonts w:ascii="Arial" w:hAnsi="Arial" w:cs="Arial"/>
        </w:rPr>
        <w:t xml:space="preserve"> jusqu’au Bugey totalise 13,4 </w:t>
      </w:r>
      <w:proofErr w:type="spellStart"/>
      <w:r>
        <w:rPr>
          <w:rFonts w:ascii="Arial" w:hAnsi="Arial" w:cs="Arial"/>
        </w:rPr>
        <w:t>GWe</w:t>
      </w:r>
      <w:proofErr w:type="spellEnd"/>
      <w:r>
        <w:rPr>
          <w:rFonts w:ascii="Arial" w:hAnsi="Arial" w:cs="Arial"/>
        </w:rPr>
        <w:t xml:space="preserve">. Elles sont déjà utilisées à 70 %. Il resterait donc 30 % au maximum de disponible, soit 4 </w:t>
      </w:r>
      <w:proofErr w:type="spellStart"/>
      <w:r>
        <w:rPr>
          <w:rFonts w:ascii="Arial" w:hAnsi="Arial" w:cs="Arial"/>
        </w:rPr>
        <w:t>GWe</w:t>
      </w:r>
      <w:proofErr w:type="spellEnd"/>
      <w:r>
        <w:rPr>
          <w:rFonts w:ascii="Arial" w:hAnsi="Arial" w:cs="Arial"/>
        </w:rPr>
        <w:t xml:space="preserve">, si on les mobilise toutes. Sans compter l’entretien, la croissance des besoins sur place… C’est </w:t>
      </w:r>
      <w:r w:rsidR="00311D4A">
        <w:rPr>
          <w:rFonts w:ascii="Arial" w:hAnsi="Arial" w:cs="Arial"/>
        </w:rPr>
        <w:t xml:space="preserve">déjà </w:t>
      </w:r>
      <w:r>
        <w:rPr>
          <w:rFonts w:ascii="Arial" w:hAnsi="Arial" w:cs="Arial"/>
        </w:rPr>
        <w:t xml:space="preserve">très peu réaliste. </w:t>
      </w:r>
      <w:r w:rsidR="00311D4A">
        <w:rPr>
          <w:rFonts w:ascii="Arial" w:hAnsi="Arial" w:cs="Arial"/>
        </w:rPr>
        <w:t>Et o</w:t>
      </w:r>
      <w:r>
        <w:rPr>
          <w:rFonts w:ascii="Arial" w:hAnsi="Arial" w:cs="Arial"/>
        </w:rPr>
        <w:t>n nous parle d’un</w:t>
      </w:r>
      <w:r w:rsidR="00311D4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311D4A">
        <w:rPr>
          <w:rFonts w:ascii="Arial" w:hAnsi="Arial" w:cs="Arial"/>
        </w:rPr>
        <w:t>capacité</w:t>
      </w:r>
      <w:r>
        <w:rPr>
          <w:rFonts w:ascii="Arial" w:hAnsi="Arial" w:cs="Arial"/>
        </w:rPr>
        <w:t xml:space="preserve"> de 5 à 6 </w:t>
      </w:r>
      <w:proofErr w:type="spellStart"/>
      <w:r>
        <w:rPr>
          <w:rFonts w:ascii="Arial" w:hAnsi="Arial" w:cs="Arial"/>
        </w:rPr>
        <w:t>GWe</w:t>
      </w:r>
      <w:proofErr w:type="spellEnd"/>
      <w:r w:rsidR="00311D4A">
        <w:rPr>
          <w:rFonts w:ascii="Arial" w:hAnsi="Arial" w:cs="Arial"/>
        </w:rPr>
        <w:t xml:space="preserve"> pour la ligne</w:t>
      </w:r>
      <w:r>
        <w:rPr>
          <w:rFonts w:ascii="Arial" w:hAnsi="Arial" w:cs="Arial"/>
        </w:rPr>
        <w:t xml:space="preserve">. Pourquoi ? </w:t>
      </w:r>
    </w:p>
    <w:p w:rsidR="00076A24" w:rsidRPr="00311D4A" w:rsidRDefault="00076A24" w:rsidP="00076A24">
      <w:pPr>
        <w:pStyle w:val="Sansinterligne"/>
        <w:spacing w:line="276" w:lineRule="auto"/>
        <w:rPr>
          <w:rFonts w:ascii="Arial" w:hAnsi="Arial" w:cs="Arial"/>
        </w:rPr>
      </w:pPr>
    </w:p>
    <w:p w:rsidR="00076A24" w:rsidRPr="00311D4A" w:rsidRDefault="00076A24" w:rsidP="00076A24">
      <w:pPr>
        <w:pStyle w:val="Sansinterligne"/>
        <w:spacing w:line="276" w:lineRule="auto"/>
        <w:rPr>
          <w:rFonts w:ascii="Arial" w:hAnsi="Arial" w:cs="Arial"/>
        </w:rPr>
      </w:pPr>
    </w:p>
    <w:p w:rsidR="00311D4A" w:rsidRPr="00311D4A" w:rsidRDefault="00311D4A" w:rsidP="00311D4A">
      <w:pPr>
        <w:pStyle w:val="Sansinterligne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6.04.2024 - </w:t>
      </w:r>
      <w:r w:rsidRPr="00311D4A">
        <w:rPr>
          <w:rFonts w:ascii="Arial" w:hAnsi="Arial" w:cs="Arial"/>
          <w:color w:val="000000" w:themeColor="text1"/>
        </w:rPr>
        <w:t>Patrick Tallon</w:t>
      </w:r>
    </w:p>
    <w:p w:rsidR="00076A24" w:rsidRPr="00311D4A" w:rsidRDefault="00076A24" w:rsidP="001447DD">
      <w:pPr>
        <w:pStyle w:val="Sansinterligne"/>
        <w:spacing w:line="276" w:lineRule="auto"/>
        <w:ind w:left="360"/>
        <w:rPr>
          <w:rFonts w:ascii="Arial" w:eastAsia="Times New Roman" w:hAnsi="Arial" w:cs="Arial"/>
        </w:rPr>
      </w:pPr>
    </w:p>
    <w:sectPr w:rsidR="00076A24" w:rsidRPr="00311D4A" w:rsidSect="0058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13D"/>
    <w:multiLevelType w:val="hybridMultilevel"/>
    <w:tmpl w:val="9FF03B04"/>
    <w:lvl w:ilvl="0" w:tplc="054C80E0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86A"/>
    <w:multiLevelType w:val="hybridMultilevel"/>
    <w:tmpl w:val="43AC892E"/>
    <w:lvl w:ilvl="0" w:tplc="6CEC143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A1E51"/>
    <w:multiLevelType w:val="hybridMultilevel"/>
    <w:tmpl w:val="EC24A9E0"/>
    <w:lvl w:ilvl="0" w:tplc="08563E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36C53"/>
    <w:multiLevelType w:val="hybridMultilevel"/>
    <w:tmpl w:val="A51008BA"/>
    <w:lvl w:ilvl="0" w:tplc="0DF0F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81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60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C4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3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89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C9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8A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E1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C667737"/>
    <w:multiLevelType w:val="hybridMultilevel"/>
    <w:tmpl w:val="941C7A7C"/>
    <w:lvl w:ilvl="0" w:tplc="392E22D4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E3A91"/>
    <w:multiLevelType w:val="hybridMultilevel"/>
    <w:tmpl w:val="70944C84"/>
    <w:lvl w:ilvl="0" w:tplc="AC0A73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A6C8A"/>
    <w:multiLevelType w:val="hybridMultilevel"/>
    <w:tmpl w:val="76C86452"/>
    <w:lvl w:ilvl="0" w:tplc="B40A70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22598"/>
    <w:rsid w:val="00036EEA"/>
    <w:rsid w:val="00076A24"/>
    <w:rsid w:val="000D7241"/>
    <w:rsid w:val="001447DD"/>
    <w:rsid w:val="00184F70"/>
    <w:rsid w:val="001E4518"/>
    <w:rsid w:val="00247A12"/>
    <w:rsid w:val="00311D4A"/>
    <w:rsid w:val="003160B4"/>
    <w:rsid w:val="00381C4A"/>
    <w:rsid w:val="003A3CBF"/>
    <w:rsid w:val="003E325C"/>
    <w:rsid w:val="005136C9"/>
    <w:rsid w:val="00522598"/>
    <w:rsid w:val="00536954"/>
    <w:rsid w:val="00583521"/>
    <w:rsid w:val="005A2DA7"/>
    <w:rsid w:val="006769A9"/>
    <w:rsid w:val="006D3C5F"/>
    <w:rsid w:val="007352B5"/>
    <w:rsid w:val="007B1C30"/>
    <w:rsid w:val="00800388"/>
    <w:rsid w:val="00843FEF"/>
    <w:rsid w:val="00926406"/>
    <w:rsid w:val="00982B09"/>
    <w:rsid w:val="00986A35"/>
    <w:rsid w:val="009F2786"/>
    <w:rsid w:val="00A235D6"/>
    <w:rsid w:val="00A46116"/>
    <w:rsid w:val="00B9291A"/>
    <w:rsid w:val="00BE74FE"/>
    <w:rsid w:val="00C71D1C"/>
    <w:rsid w:val="00CC7F88"/>
    <w:rsid w:val="00D10A12"/>
    <w:rsid w:val="00D561CF"/>
    <w:rsid w:val="00DA4FD7"/>
    <w:rsid w:val="00E005DE"/>
    <w:rsid w:val="00EA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116"/>
    <w:pPr>
      <w:ind w:left="720"/>
      <w:contextualSpacing/>
    </w:pPr>
  </w:style>
  <w:style w:type="paragraph" w:styleId="Sansinterligne">
    <w:name w:val="No Spacing"/>
    <w:uiPriority w:val="1"/>
    <w:qFormat/>
    <w:rsid w:val="006769A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769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truction%20d&#8217;un%20SMR,%20voire%20d&#8217;un%20EPR%20en%20tenant%20compte%20de%20l&#8217;exp&#233;rience%20acquise%20&#224;%20Flamanville&#823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uklearforum.ch/fr/nouvelles/grande-bretagne-six-fournisseurs-de-smr-selection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e-france.com/projets/nos-projets/creation-ligne-electrique-amiens-petitcaux" TargetMode="External"/><Relationship Id="rId5" Type="http://schemas.openxmlformats.org/officeDocument/2006/relationships/hyperlink" Target="https://www.orano.group/fr/decodage/smr-mini-reacteurs-un-atout-pour-le-nucleai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dcterms:created xsi:type="dcterms:W3CDTF">2024-04-06T19:44:00Z</dcterms:created>
  <dcterms:modified xsi:type="dcterms:W3CDTF">2024-04-06T20:35:00Z</dcterms:modified>
</cp:coreProperties>
</file>